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A5A21" w14:textId="77777777" w:rsidR="000E47BC" w:rsidRDefault="00F01439">
      <w:pPr>
        <w:rPr>
          <w:rFonts w:ascii="仿宋_GB2312" w:eastAsia="仿宋_GB2312" w:hAnsi="仿宋" w:cs="仿宋"/>
          <w:color w:val="000000"/>
          <w:sz w:val="32"/>
          <w:szCs w:val="32"/>
        </w:rPr>
      </w:pPr>
      <w:r>
        <w:rPr>
          <w:rFonts w:ascii="仿宋_GB2312" w:eastAsia="仿宋_GB2312" w:hAnsi="仿宋" w:cs="仿宋" w:hint="eastAsia"/>
          <w:color w:val="000000"/>
          <w:sz w:val="32"/>
          <w:szCs w:val="32"/>
        </w:rPr>
        <w:t>附件1：</w:t>
      </w:r>
    </w:p>
    <w:p w14:paraId="5A307BE1" w14:textId="77777777" w:rsidR="000E47BC" w:rsidRDefault="00F01439">
      <w:pPr>
        <w:ind w:firstLineChars="200" w:firstLine="640"/>
        <w:rPr>
          <w:rFonts w:ascii="楷体" w:eastAsia="楷体" w:hAnsi="楷体"/>
          <w:color w:val="000000"/>
          <w:sz w:val="32"/>
          <w:szCs w:val="32"/>
        </w:rPr>
      </w:pPr>
      <w:r>
        <w:rPr>
          <w:rFonts w:ascii="楷体" w:eastAsia="楷体" w:hAnsi="楷体" w:hint="eastAsia"/>
          <w:color w:val="000000"/>
          <w:sz w:val="32"/>
          <w:szCs w:val="32"/>
        </w:rPr>
        <w:t>《中国人民大学学工系统学生骨干培养计划实施办法（试行）》经2014年8月26日中共中国人民大学第十三届委员会第109次常委会议研究通过，现予印发，即日起开始执行。</w:t>
      </w:r>
    </w:p>
    <w:p w14:paraId="110D430E" w14:textId="77777777" w:rsidR="000E47BC" w:rsidRDefault="000E47BC">
      <w:pPr>
        <w:jc w:val="center"/>
        <w:rPr>
          <w:rFonts w:ascii="黑体" w:eastAsia="黑体" w:hAnsi="黑体"/>
          <w:b/>
          <w:w w:val="90"/>
          <w:sz w:val="48"/>
          <w:szCs w:val="48"/>
        </w:rPr>
      </w:pPr>
    </w:p>
    <w:p w14:paraId="44D21B2B" w14:textId="77777777" w:rsidR="000E47BC" w:rsidRDefault="00F01439">
      <w:pPr>
        <w:spacing w:line="520" w:lineRule="exact"/>
        <w:jc w:val="center"/>
        <w:rPr>
          <w:rFonts w:ascii="方正小标宋简体" w:eastAsia="方正小标宋简体" w:hAnsi="仿宋"/>
          <w:spacing w:val="-6"/>
          <w:sz w:val="44"/>
          <w:szCs w:val="44"/>
        </w:rPr>
      </w:pPr>
      <w:r>
        <w:rPr>
          <w:rFonts w:ascii="方正小标宋简体" w:eastAsia="方正小标宋简体" w:hAnsi="仿宋" w:hint="eastAsia"/>
          <w:spacing w:val="-6"/>
          <w:sz w:val="44"/>
          <w:szCs w:val="44"/>
        </w:rPr>
        <w:t>中国人民大学学工系统学生骨干培养计划</w:t>
      </w:r>
    </w:p>
    <w:p w14:paraId="4B692B78" w14:textId="77777777" w:rsidR="000E47BC" w:rsidRDefault="00F01439">
      <w:pPr>
        <w:spacing w:line="520" w:lineRule="exact"/>
        <w:jc w:val="center"/>
        <w:rPr>
          <w:rFonts w:ascii="方正小标宋简体" w:eastAsia="方正小标宋简体" w:hAnsi="仿宋"/>
          <w:spacing w:val="-6"/>
          <w:sz w:val="32"/>
          <w:szCs w:val="32"/>
        </w:rPr>
      </w:pPr>
      <w:r>
        <w:rPr>
          <w:rFonts w:ascii="方正小标宋简体" w:eastAsia="方正小标宋简体" w:hAnsi="仿宋" w:hint="eastAsia"/>
          <w:spacing w:val="-6"/>
          <w:sz w:val="44"/>
          <w:szCs w:val="44"/>
        </w:rPr>
        <w:t>实施办法（试行）（节选）</w:t>
      </w:r>
    </w:p>
    <w:p w14:paraId="1CB5752F" w14:textId="77777777" w:rsidR="000E47BC" w:rsidRDefault="000E47BC">
      <w:pPr>
        <w:widowControl/>
        <w:adjustRightInd w:val="0"/>
        <w:snapToGrid w:val="0"/>
        <w:spacing w:line="520" w:lineRule="exact"/>
        <w:ind w:firstLineChars="200" w:firstLine="600"/>
        <w:jc w:val="left"/>
        <w:rPr>
          <w:rFonts w:ascii="仿宋" w:eastAsia="仿宋" w:hAnsi="仿宋" w:cs="仿宋"/>
          <w:color w:val="020202"/>
          <w:kern w:val="0"/>
          <w:sz w:val="30"/>
          <w:szCs w:val="30"/>
        </w:rPr>
      </w:pPr>
    </w:p>
    <w:p w14:paraId="785D56B3" w14:textId="77777777" w:rsidR="000E47BC" w:rsidRDefault="00F01439">
      <w:pPr>
        <w:spacing w:line="520" w:lineRule="exact"/>
        <w:rPr>
          <w:rFonts w:ascii="仿宋" w:eastAsia="仿宋" w:hAnsi="仿宋"/>
          <w:sz w:val="32"/>
          <w:szCs w:val="32"/>
        </w:rPr>
      </w:pPr>
      <w:r>
        <w:rPr>
          <w:rFonts w:ascii="仿宋" w:eastAsia="仿宋" w:hAnsi="仿宋" w:hint="eastAsia"/>
          <w:sz w:val="32"/>
          <w:szCs w:val="32"/>
        </w:rPr>
        <w:t xml:space="preserve">    为加强我校学生骨干队伍建设，在未来五年内选拔一百名左右政治坚定、作风过硬、素质全面的学生骨干，并以此为基础向校内外培养和输送一大批高素质青年干部，逐步探索构建一个既符合青年成长成才的一般规律，又具备鲜明人大特色的全方位、系统化、可持续性青年干部培养体系。按照中国人民大学干部人才选拔培养相关规定，结合我校实际，特制定本办法。</w:t>
      </w:r>
    </w:p>
    <w:p w14:paraId="2FD40DEF" w14:textId="77777777" w:rsidR="000E47BC" w:rsidRDefault="00F01439">
      <w:pPr>
        <w:spacing w:line="520" w:lineRule="exact"/>
        <w:ind w:firstLineChars="200" w:firstLine="640"/>
        <w:rPr>
          <w:rFonts w:ascii="黑体" w:eastAsia="黑体" w:hAnsi="黑体"/>
          <w:sz w:val="32"/>
          <w:szCs w:val="32"/>
        </w:rPr>
      </w:pPr>
      <w:r>
        <w:rPr>
          <w:rFonts w:ascii="黑体" w:eastAsia="黑体" w:hAnsi="黑体" w:hint="eastAsia"/>
          <w:sz w:val="32"/>
          <w:szCs w:val="32"/>
        </w:rPr>
        <w:t>一、组织领导</w:t>
      </w:r>
    </w:p>
    <w:p w14:paraId="75275BDE"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成立以主管组织工作和学生工作的校领导为双组长的中国人民大学学工系统学生骨干培养计划工作小组（以下简称“工作小组”）。工作小组下设秘书处，秘书处设在党委学生工作部。（党委组织部、党委学生工作部牵头，研究生院、教务处、人事处、校团委和各学院党委等相关部门按职责分工负责。）</w:t>
      </w:r>
    </w:p>
    <w:p w14:paraId="01FC4FE2" w14:textId="77777777" w:rsidR="000E47BC" w:rsidRDefault="00F01439">
      <w:pPr>
        <w:spacing w:line="520" w:lineRule="exact"/>
        <w:ind w:firstLineChars="200" w:firstLine="640"/>
        <w:rPr>
          <w:rFonts w:ascii="黑体" w:eastAsia="黑体" w:hAnsi="黑体"/>
          <w:sz w:val="32"/>
          <w:szCs w:val="32"/>
        </w:rPr>
      </w:pPr>
      <w:r>
        <w:rPr>
          <w:rFonts w:ascii="黑体" w:eastAsia="黑体" w:hAnsi="黑体" w:hint="eastAsia"/>
          <w:sz w:val="32"/>
          <w:szCs w:val="32"/>
        </w:rPr>
        <w:t>二、推荐选拔</w:t>
      </w:r>
    </w:p>
    <w:p w14:paraId="47914ADF"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（一）总体要求</w:t>
      </w:r>
    </w:p>
    <w:p w14:paraId="2BF22894"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“中国人民大学学工系统学生骨干培养计划”（以下简</w:t>
      </w:r>
      <w:r>
        <w:rPr>
          <w:rFonts w:ascii="仿宋" w:eastAsia="仿宋" w:hAnsi="仿宋" w:hint="eastAsia"/>
          <w:sz w:val="32"/>
          <w:szCs w:val="32"/>
        </w:rPr>
        <w:lastRenderedPageBreak/>
        <w:t>称“骨干计划”）包括“优秀学生骨干推荐免试攻读硕士研究生并保留入学资格留校工作”的“2+2”模式和“优秀学生骨干推荐免试硕博连读并保留入学资格留校工作”的“2+5”模式等两大类。前者是指确定为“骨干计划”培养对象的优秀学生骨干在本科毕业之后保留学籍留校工作2年，之后再免试攻读硕士研究生2年；后者是指确定为“骨干计划”培养对象的优秀学生骨干在本科毕业之后保留学籍留校工作2年，之后再免试硕博连读5年。</w:t>
      </w:r>
    </w:p>
    <w:p w14:paraId="040B7EE6"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（二）实施细则</w:t>
      </w:r>
    </w:p>
    <w:p w14:paraId="480FFBD2"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1.岗位设置</w:t>
      </w:r>
    </w:p>
    <w:p w14:paraId="283C7EF5"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骨干计划”的岗位在学工系统进行设置，时机成熟时向全校推广。总体岗位设置按照“学生人数总规模在一千人以上的学院2人，一千人以下的学院1人，党委学生工作部、校团委等学生工作相关部门2-3人”的原则分布。</w:t>
      </w:r>
    </w:p>
    <w:p w14:paraId="33DF4469"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骨干计划”推荐与选拔工作开始前，用人单位应结合自身实际向秘书处提出岗位需求，说明岗位职责、拟设岗位数量和选留学生骨干拟任职务。岗位设置原则上应占用用人单位管理职员编制。首次设岗应优先考虑缺编单位。经工作小组审批同意后可以设岗，但所增设岗位数量在该单位非教师人员退休或调出时退还学校。</w:t>
      </w:r>
    </w:p>
    <w:p w14:paraId="17504DF5"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经秘书处初步汇总审核后，提交工作小组讨论确定当年实际岗位设置情况，原则上为当年教育部批准我校本科生推荐免试攻读硕士研究生名额的3%左右，在学校各单位岗位实际需求的情况下，根据实际情况扩大岗位设置名额。</w:t>
      </w:r>
    </w:p>
    <w:p w14:paraId="7ECB735C"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2.推荐与选拔程序</w:t>
      </w:r>
    </w:p>
    <w:p w14:paraId="5E159BF0"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（1）推荐对象原则上是当年应届本科毕业生中曾经担任校院两级主要学生组织重要职务的优秀学生骨干。具备良</w:t>
      </w:r>
      <w:r>
        <w:rPr>
          <w:rFonts w:ascii="仿宋" w:eastAsia="仿宋" w:hAnsi="仿宋" w:hint="eastAsia"/>
          <w:sz w:val="32"/>
          <w:szCs w:val="32"/>
        </w:rPr>
        <w:lastRenderedPageBreak/>
        <w:t>好的思想政治素质，热爱祖国，拥护党的路线方针政策，具有社会责任感和历史使命感，品行端正，在校期间无任何处分记录。学分</w:t>
      </w:r>
      <w:proofErr w:type="gramStart"/>
      <w:r>
        <w:rPr>
          <w:rFonts w:ascii="仿宋" w:eastAsia="仿宋" w:hAnsi="仿宋" w:hint="eastAsia"/>
          <w:sz w:val="32"/>
          <w:szCs w:val="32"/>
        </w:rPr>
        <w:t>绩</w:t>
      </w:r>
      <w:proofErr w:type="gramEnd"/>
      <w:r>
        <w:rPr>
          <w:rFonts w:ascii="仿宋" w:eastAsia="仿宋" w:hAnsi="仿宋" w:hint="eastAsia"/>
          <w:sz w:val="32"/>
          <w:szCs w:val="32"/>
        </w:rPr>
        <w:t>排名须在本专业或本班级前50%，或</w:t>
      </w:r>
      <w:proofErr w:type="gramStart"/>
      <w:r>
        <w:rPr>
          <w:rFonts w:ascii="仿宋" w:eastAsia="仿宋" w:hAnsi="仿宋" w:hint="eastAsia"/>
          <w:sz w:val="32"/>
          <w:szCs w:val="32"/>
        </w:rPr>
        <w:t>学分绩点不</w:t>
      </w:r>
      <w:proofErr w:type="gramEnd"/>
      <w:r>
        <w:rPr>
          <w:rFonts w:ascii="仿宋" w:eastAsia="仿宋" w:hAnsi="仿宋" w:hint="eastAsia"/>
          <w:sz w:val="32"/>
          <w:szCs w:val="32"/>
        </w:rPr>
        <w:t>低于3.0。</w:t>
      </w:r>
      <w:r>
        <w:rPr>
          <w:rFonts w:ascii="仿宋" w:eastAsia="仿宋" w:hAnsi="仿宋" w:hint="eastAsia"/>
          <w:sz w:val="32"/>
          <w:szCs w:val="32"/>
        </w:rPr>
        <w:t>（见</w:t>
      </w:r>
      <w:r w:rsidRPr="00D645EA">
        <w:rPr>
          <w:rStyle w:val="10"/>
          <w:rFonts w:ascii="仿宋" w:eastAsia="仿宋" w:hAnsi="仿宋" w:cs="仿宋" w:hint="eastAsia"/>
          <w:b w:val="0"/>
          <w:sz w:val="32"/>
          <w:szCs w:val="32"/>
        </w:rPr>
        <w:t>《关于</w:t>
      </w:r>
      <w:r w:rsidRPr="00D645EA">
        <w:rPr>
          <w:rStyle w:val="10"/>
          <w:rFonts w:ascii="仿宋" w:eastAsia="仿宋" w:hAnsi="仿宋" w:cs="仿宋"/>
          <w:b w:val="0"/>
          <w:sz w:val="32"/>
          <w:szCs w:val="32"/>
        </w:rPr>
        <w:t>&lt;中国人民大学优秀应届本科毕业生免试攻读研究生推荐工作实施办法</w:t>
      </w:r>
      <w:bookmarkStart w:id="0" w:name="_GoBack"/>
      <w:bookmarkEnd w:id="0"/>
      <w:r w:rsidRPr="00D645EA">
        <w:rPr>
          <w:rStyle w:val="10"/>
          <w:rFonts w:ascii="仿宋" w:eastAsia="仿宋" w:hAnsi="仿宋" w:cs="仿宋"/>
          <w:b w:val="0"/>
          <w:sz w:val="32"/>
          <w:szCs w:val="32"/>
        </w:rPr>
        <w:t>&gt;（修订）的补充规定》</w:t>
      </w:r>
      <w:r>
        <w:rPr>
          <w:rFonts w:ascii="仿宋" w:eastAsia="仿宋" w:hAnsi="仿宋" w:hint="eastAsia"/>
          <w:sz w:val="32"/>
          <w:szCs w:val="32"/>
        </w:rPr>
        <w:t>）</w:t>
      </w:r>
    </w:p>
    <w:p w14:paraId="7E0C286A"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推荐工作应与当年的我校本科生推荐免试攻读硕士研究生工作同步进行，两者不能兼报。学院按照学生自荐与学院推荐相结合的原则，初步汇总审核并报请学院党政联席会议讨论确定“骨干计划”院级候选人。院级候选人总数不超过当年实际岗位设置的两倍。</w:t>
      </w:r>
    </w:p>
    <w:p w14:paraId="33776FBB"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（2）秘书处组织“骨干计划”院级候选人进行笔试与面试，按照笔试占40%、面试占60%的比例计算总成绩，并据此依序确定“骨干计划”校级候选人。校级候选人不超过当年实际岗位设置的110%。</w:t>
      </w:r>
    </w:p>
    <w:p w14:paraId="08063147"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3）“骨干计划”校级候选人根据志愿（含第二志愿）参加用人单位组织的面试，同时按照《中国人民大学本科生推荐免试攻读硕士学位研究生实施办法（修订）》要求，参加各自申请专业（包括转专业）的专业复试。用人单位据此最终确定拟录用“骨干计划”成员。保</w:t>
      </w:r>
      <w:proofErr w:type="gramStart"/>
      <w:r>
        <w:rPr>
          <w:rFonts w:ascii="仿宋" w:eastAsia="仿宋" w:hAnsi="仿宋" w:hint="eastAsia"/>
          <w:sz w:val="32"/>
          <w:szCs w:val="32"/>
        </w:rPr>
        <w:t>研</w:t>
      </w:r>
      <w:proofErr w:type="gramEnd"/>
      <w:r>
        <w:rPr>
          <w:rFonts w:ascii="仿宋" w:eastAsia="仿宋" w:hAnsi="仿宋" w:hint="eastAsia"/>
          <w:sz w:val="32"/>
          <w:szCs w:val="32"/>
        </w:rPr>
        <w:t>名额由学校单独划拨，不占用</w:t>
      </w:r>
      <w:proofErr w:type="gramStart"/>
      <w:r>
        <w:rPr>
          <w:rFonts w:ascii="仿宋" w:eastAsia="仿宋" w:hAnsi="仿宋" w:hint="eastAsia"/>
          <w:sz w:val="32"/>
          <w:szCs w:val="32"/>
        </w:rPr>
        <w:t>学院推免名额</w:t>
      </w:r>
      <w:proofErr w:type="gramEnd"/>
      <w:r>
        <w:rPr>
          <w:rFonts w:ascii="仿宋" w:eastAsia="仿宋" w:hAnsi="仿宋" w:hint="eastAsia"/>
          <w:sz w:val="32"/>
          <w:szCs w:val="32"/>
        </w:rPr>
        <w:t>。</w:t>
      </w:r>
    </w:p>
    <w:p w14:paraId="709D2A2F"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3.纪律监察</w:t>
      </w:r>
    </w:p>
    <w:p w14:paraId="58685285"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秘书处邀请纪委办公室（监察处）参与推荐选拔过程。未经秘书处确认的工作意向、试用工作一概不予承认，不作为确定工作单</w:t>
      </w:r>
      <w:proofErr w:type="gramStart"/>
      <w:r>
        <w:rPr>
          <w:rFonts w:ascii="仿宋" w:eastAsia="仿宋" w:hAnsi="仿宋" w:hint="eastAsia"/>
          <w:sz w:val="32"/>
          <w:szCs w:val="32"/>
        </w:rPr>
        <w:t>位分配</w:t>
      </w:r>
      <w:proofErr w:type="gramEnd"/>
      <w:r>
        <w:rPr>
          <w:rFonts w:ascii="仿宋" w:eastAsia="仿宋" w:hAnsi="仿宋" w:hint="eastAsia"/>
          <w:sz w:val="32"/>
          <w:szCs w:val="32"/>
        </w:rPr>
        <w:t>方案的依据。任何人员均有权利对推荐选拔过程进行监督。对推荐选拔过程中的任何违纪行为，有权进行实名检举。</w:t>
      </w:r>
    </w:p>
    <w:p w14:paraId="3532A57D" w14:textId="77777777" w:rsidR="000E47BC" w:rsidRDefault="00F01439">
      <w:pPr>
        <w:spacing w:line="520" w:lineRule="exact"/>
        <w:ind w:firstLineChars="200" w:firstLine="640"/>
        <w:rPr>
          <w:rFonts w:ascii="黑体" w:eastAsia="黑体" w:hAnsi="黑体"/>
          <w:sz w:val="32"/>
          <w:szCs w:val="32"/>
        </w:rPr>
      </w:pPr>
      <w:r>
        <w:rPr>
          <w:rFonts w:ascii="黑体" w:eastAsia="黑体" w:hAnsi="黑体" w:hint="eastAsia"/>
          <w:sz w:val="32"/>
          <w:szCs w:val="32"/>
        </w:rPr>
        <w:t>三、培养安排</w:t>
      </w:r>
    </w:p>
    <w:p w14:paraId="730378D6"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为保障学生骨干培养的连续性，在成员培养阶段将根据培养对象的实际情况，拓展培养路径，提供发展支持，切实增强“骨干计划”的质量和层次。建立与现有其他人才培养项目的互通机制，表现突出的，将优先为学生骨干提供参与校内岗位轮换、赴校外挂职锻炼、出国留学深造、主持科研项目的机会。</w:t>
      </w:r>
    </w:p>
    <w:p w14:paraId="673F8E12" w14:textId="77777777" w:rsidR="000E47BC" w:rsidRDefault="00F01439">
      <w:pPr>
        <w:spacing w:line="520" w:lineRule="exact"/>
        <w:ind w:firstLineChars="200" w:firstLine="640"/>
        <w:rPr>
          <w:rFonts w:ascii="黑体" w:eastAsia="黑体" w:hAnsi="黑体"/>
          <w:sz w:val="32"/>
          <w:szCs w:val="32"/>
        </w:rPr>
      </w:pPr>
      <w:r>
        <w:rPr>
          <w:rFonts w:ascii="黑体" w:eastAsia="黑体" w:hAnsi="黑体" w:hint="eastAsia"/>
          <w:sz w:val="32"/>
          <w:szCs w:val="32"/>
        </w:rPr>
        <w:t>四、组织保障</w:t>
      </w:r>
    </w:p>
    <w:p w14:paraId="0C3A2AC6" w14:textId="77777777"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（一）“骨干计划”成员要与学校签订工作保</w:t>
      </w:r>
      <w:proofErr w:type="gramStart"/>
      <w:r>
        <w:rPr>
          <w:rFonts w:ascii="仿宋" w:eastAsia="仿宋" w:hAnsi="仿宋" w:hint="eastAsia"/>
          <w:sz w:val="32"/>
          <w:szCs w:val="32"/>
        </w:rPr>
        <w:t>研</w:t>
      </w:r>
      <w:proofErr w:type="gramEnd"/>
      <w:r>
        <w:rPr>
          <w:rFonts w:ascii="仿宋" w:eastAsia="仿宋" w:hAnsi="仿宋" w:hint="eastAsia"/>
          <w:sz w:val="32"/>
          <w:szCs w:val="32"/>
        </w:rPr>
        <w:t>协议，明确双方权利义务，同时声明自愿放弃学校本科就业推荐资格以及硕士研究生内推、外推资格和出国深造等个人安排。与学校签订三方协议后，学院不得发放就业推荐表，不得再进行任何与就业相关的推荐，其户口和档案通过学校就业指导中心办理暂存学校的手续。毕业时发放派遣证。</w:t>
      </w:r>
    </w:p>
    <w:p w14:paraId="2E87A66D" w14:textId="37E7F46E" w:rsidR="000E47BC" w:rsidRDefault="00F01439">
      <w:pPr>
        <w:spacing w:line="520" w:lineRule="exact"/>
        <w:ind w:firstLineChars="200" w:firstLine="640"/>
        <w:rPr>
          <w:rFonts w:ascii="仿宋" w:eastAsia="仿宋" w:hAnsi="仿宋"/>
          <w:sz w:val="32"/>
          <w:szCs w:val="32"/>
        </w:rPr>
      </w:pPr>
      <w:r>
        <w:rPr>
          <w:rFonts w:ascii="仿宋" w:eastAsia="仿宋" w:hAnsi="仿宋" w:hint="eastAsia"/>
          <w:sz w:val="32"/>
          <w:szCs w:val="32"/>
        </w:rPr>
        <w:t>（二）“骨干计划”成员在工作期间，人事处参照在编在岗同类人员薪酬统一核算发放薪酬（2019年第一次工作小组会决议）。经学校批准，自2016年8月起，“骨干计划”成员两年工作期间，由学校统一缴纳养老保险、医疗保险、失业保险、工伤保险、生育保险及住房公积金，即“五险</w:t>
      </w:r>
      <w:proofErr w:type="gramStart"/>
      <w:r>
        <w:rPr>
          <w:rFonts w:ascii="仿宋" w:eastAsia="仿宋" w:hAnsi="仿宋" w:hint="eastAsia"/>
          <w:sz w:val="32"/>
          <w:szCs w:val="32"/>
        </w:rPr>
        <w:t>一</w:t>
      </w:r>
      <w:proofErr w:type="gramEnd"/>
      <w:r>
        <w:rPr>
          <w:rFonts w:ascii="仿宋" w:eastAsia="仿宋" w:hAnsi="仿宋" w:hint="eastAsia"/>
          <w:sz w:val="32"/>
          <w:szCs w:val="32"/>
        </w:rPr>
        <w:t>金”，不再享受公费医疗待遇（2016年第一次工作小组会决议）。后勤集团、党委学生工作部提供学生宿舍床位，不再发放住房补贴。工作期间表现计入个人档案。</w:t>
      </w:r>
    </w:p>
    <w:p w14:paraId="5BB2557E" w14:textId="5D24A808" w:rsidR="000E47BC" w:rsidRPr="00076C9F" w:rsidRDefault="00F01439" w:rsidP="00076C9F">
      <w:pPr>
        <w:spacing w:line="520" w:lineRule="exact"/>
        <w:ind w:firstLineChars="200" w:firstLine="640"/>
        <w:rPr>
          <w:rFonts w:ascii="仿宋" w:eastAsia="仿宋" w:hAnsi="仿宋"/>
          <w:sz w:val="32"/>
          <w:szCs w:val="32"/>
        </w:rPr>
      </w:pPr>
      <w:r>
        <w:rPr>
          <w:rFonts w:ascii="仿宋" w:eastAsia="仿宋" w:hAnsi="仿宋" w:hint="eastAsia"/>
          <w:sz w:val="32"/>
          <w:szCs w:val="32"/>
        </w:rPr>
        <w:t>（三）“骨干计划”成员留校工作期满，由党委学生工作部、实际用人单位等有关部门进行考核。考核合格者，按照当年政策开始攻读硕士学位或者硕博连读，毕业后可根据个人意愿按照正常招聘程序（同等条件下可优先录用）进入我校管理干部序列；考核不合格者，按照学校规定处理，情节严重的学校将中止后续培养计划，取消其研究生入学资格，</w:t>
      </w:r>
      <w:r>
        <w:rPr>
          <w:rFonts w:ascii="仿宋" w:eastAsia="仿宋" w:hAnsi="仿宋" w:hint="eastAsia"/>
          <w:sz w:val="32"/>
          <w:szCs w:val="32"/>
        </w:rPr>
        <w:lastRenderedPageBreak/>
        <w:t>户口档案退回原籍。</w:t>
      </w:r>
    </w:p>
    <w:p w14:paraId="63869891" w14:textId="77777777" w:rsidR="000E47BC" w:rsidRDefault="000E47BC">
      <w:pPr>
        <w:ind w:right="560"/>
        <w:rPr>
          <w:rFonts w:eastAsia="仿宋_GB2312"/>
          <w:sz w:val="28"/>
          <w:szCs w:val="28"/>
        </w:rPr>
      </w:pPr>
    </w:p>
    <w:p w14:paraId="3D97CBB1" w14:textId="77777777" w:rsidR="000E47BC" w:rsidRDefault="000E47BC">
      <w:pPr>
        <w:ind w:right="560"/>
        <w:rPr>
          <w:rFonts w:eastAsia="仿宋_GB2312"/>
          <w:sz w:val="28"/>
          <w:szCs w:val="28"/>
        </w:rPr>
      </w:pPr>
    </w:p>
    <w:p w14:paraId="036E170D" w14:textId="77777777" w:rsidR="000E47BC" w:rsidRDefault="000E47BC">
      <w:pPr>
        <w:ind w:right="560"/>
        <w:rPr>
          <w:rFonts w:eastAsia="仿宋_GB2312"/>
          <w:sz w:val="28"/>
          <w:szCs w:val="28"/>
        </w:rPr>
      </w:pPr>
    </w:p>
    <w:p w14:paraId="317707B8" w14:textId="77777777" w:rsidR="000E47BC" w:rsidRDefault="000E47BC">
      <w:pPr>
        <w:ind w:right="560"/>
        <w:rPr>
          <w:rFonts w:eastAsia="仿宋_GB2312"/>
          <w:sz w:val="28"/>
          <w:szCs w:val="28"/>
        </w:rPr>
      </w:pPr>
    </w:p>
    <w:p w14:paraId="3E6FE7F3" w14:textId="77777777" w:rsidR="000E47BC" w:rsidRDefault="000E47BC">
      <w:pPr>
        <w:ind w:right="560"/>
        <w:rPr>
          <w:rFonts w:eastAsia="仿宋_GB2312"/>
          <w:sz w:val="28"/>
          <w:szCs w:val="28"/>
        </w:rPr>
      </w:pPr>
    </w:p>
    <w:p w14:paraId="66222167" w14:textId="77777777" w:rsidR="000E47BC" w:rsidRDefault="000E47BC">
      <w:pPr>
        <w:ind w:right="560"/>
        <w:rPr>
          <w:rFonts w:eastAsia="仿宋_GB2312"/>
          <w:sz w:val="28"/>
          <w:szCs w:val="28"/>
        </w:rPr>
      </w:pPr>
    </w:p>
    <w:p w14:paraId="46685B3D" w14:textId="77777777" w:rsidR="000E47BC" w:rsidRDefault="000E47BC">
      <w:pPr>
        <w:ind w:right="560"/>
        <w:rPr>
          <w:rFonts w:eastAsia="仿宋_GB2312"/>
          <w:sz w:val="28"/>
          <w:szCs w:val="28"/>
        </w:rPr>
      </w:pPr>
    </w:p>
    <w:p w14:paraId="2C80FF70" w14:textId="77777777" w:rsidR="000E47BC" w:rsidRDefault="000E47BC">
      <w:pPr>
        <w:ind w:right="560"/>
        <w:rPr>
          <w:rFonts w:eastAsia="仿宋_GB2312"/>
          <w:sz w:val="28"/>
          <w:szCs w:val="28"/>
        </w:rPr>
      </w:pPr>
    </w:p>
    <w:p w14:paraId="6BD44214" w14:textId="77777777" w:rsidR="000E47BC" w:rsidRDefault="000E47BC">
      <w:pPr>
        <w:ind w:right="560"/>
        <w:rPr>
          <w:rFonts w:eastAsia="仿宋_GB2312"/>
          <w:sz w:val="28"/>
          <w:szCs w:val="28"/>
        </w:rPr>
      </w:pPr>
    </w:p>
    <w:p w14:paraId="48F7E3AA" w14:textId="77777777" w:rsidR="000E47BC" w:rsidRDefault="000E47BC">
      <w:pPr>
        <w:ind w:right="560"/>
        <w:rPr>
          <w:rFonts w:eastAsia="仿宋_GB2312"/>
          <w:sz w:val="28"/>
          <w:szCs w:val="28"/>
        </w:rPr>
      </w:pPr>
    </w:p>
    <w:sectPr w:rsidR="000E47BC" w:rsidSect="00905867">
      <w:footerReference w:type="default" r:id="rId8"/>
      <w:pgSz w:w="11906" w:h="16838"/>
      <w:pgMar w:top="1440" w:right="1800" w:bottom="1246"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E53B" w14:textId="77777777" w:rsidR="00AD66B1" w:rsidRDefault="00AD66B1">
      <w:r>
        <w:separator/>
      </w:r>
    </w:p>
  </w:endnote>
  <w:endnote w:type="continuationSeparator" w:id="0">
    <w:p w14:paraId="21BBCE8D" w14:textId="77777777" w:rsidR="00AD66B1" w:rsidRDefault="00AD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FF35" w14:textId="77777777" w:rsidR="000E47BC" w:rsidRDefault="00F01439">
    <w:pPr>
      <w:pStyle w:val="a3"/>
    </w:pPr>
    <w:r>
      <w:rPr>
        <w:noProof/>
      </w:rPr>
      <mc:AlternateContent>
        <mc:Choice Requires="wps">
          <w:drawing>
            <wp:anchor distT="0" distB="0" distL="114300" distR="114300" simplePos="0" relativeHeight="251658240" behindDoc="0" locked="0" layoutInCell="1" allowOverlap="1" wp14:anchorId="08D0BCCD" wp14:editId="4AE7B24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5AE40C7" w14:textId="6D7301B5" w:rsidR="000E47BC" w:rsidRDefault="00F014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645EA" w:rsidRPr="00D645EA">
                            <w:rPr>
                              <w:noProof/>
                            </w:rPr>
                            <w:t>5</w:t>
                          </w:r>
                          <w:r>
                            <w:rPr>
                              <w:rFonts w:hint="eastAsia"/>
                              <w:sz w:val="18"/>
                            </w:rPr>
                            <w:fldChar w:fldCharType="end"/>
                          </w:r>
                        </w:p>
                      </w:txbxContent>
                    </wps:txbx>
                    <wps:bodyPr wrap="none" lIns="0" tIns="0" rIns="0" bIns="0" upright="1">
                      <a:spAutoFit/>
                    </wps:bodyPr>
                  </wps:wsp>
                </a:graphicData>
              </a:graphic>
            </wp:anchor>
          </w:drawing>
        </mc:Choice>
        <mc:Fallback>
          <w:pict>
            <v:shapetype w14:anchorId="08D0BCCD"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EnA6fxAEAAGIDAAAOAAAAAAAAAAAAAAAAAC4CAABk&#10;cnMvZTJvRG9jLnhtbFBLAQItABQABgAIAAAAIQAMSvDu1gAAAAUBAAAPAAAAAAAAAAAAAAAAAB4E&#10;AABkcnMvZG93bnJldi54bWxQSwUGAAAAAAQABADzAAAAIQUAAAAA&#10;" filled="f" stroked="f">
              <v:textbox style="mso-fit-shape-to-text:t" inset="0,0,0,0">
                <w:txbxContent>
                  <w:p w14:paraId="35AE40C7" w14:textId="6D7301B5" w:rsidR="000E47BC" w:rsidRDefault="00F014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645EA" w:rsidRPr="00D645EA">
                      <w:rPr>
                        <w:noProof/>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F9036" w14:textId="77777777" w:rsidR="00AD66B1" w:rsidRDefault="00AD66B1">
      <w:r>
        <w:separator/>
      </w:r>
    </w:p>
  </w:footnote>
  <w:footnote w:type="continuationSeparator" w:id="0">
    <w:p w14:paraId="7EDA9094" w14:textId="77777777" w:rsidR="00AD66B1" w:rsidRDefault="00AD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hint="default"/>
      </w:rPr>
    </w:lvl>
  </w:abstractNum>
  <w:abstractNum w:abstractNumId="1" w15:restartNumberingAfterBreak="0">
    <w:nsid w:val="00000002"/>
    <w:multiLevelType w:val="singleLevel"/>
    <w:tmpl w:val="00000002"/>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026D6E"/>
    <w:rsid w:val="00076C9F"/>
    <w:rsid w:val="000E47BC"/>
    <w:rsid w:val="001E2617"/>
    <w:rsid w:val="007A41F1"/>
    <w:rsid w:val="00905867"/>
    <w:rsid w:val="00AD66B1"/>
    <w:rsid w:val="00B8366B"/>
    <w:rsid w:val="00B85856"/>
    <w:rsid w:val="00C12E14"/>
    <w:rsid w:val="00C528A9"/>
    <w:rsid w:val="00D645EA"/>
    <w:rsid w:val="00F01439"/>
    <w:rsid w:val="03026D6E"/>
    <w:rsid w:val="086F3EFC"/>
    <w:rsid w:val="099163EF"/>
    <w:rsid w:val="11460199"/>
    <w:rsid w:val="19D52B0F"/>
    <w:rsid w:val="1B840D61"/>
    <w:rsid w:val="25CB779D"/>
    <w:rsid w:val="294C302F"/>
    <w:rsid w:val="355725CB"/>
    <w:rsid w:val="36873E47"/>
    <w:rsid w:val="42B65D6B"/>
    <w:rsid w:val="438A10E9"/>
    <w:rsid w:val="4EB33E5D"/>
    <w:rsid w:val="57CA4E90"/>
    <w:rsid w:val="685A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5D815"/>
  <w15:docId w15:val="{FF559E00-8DC0-4B87-804B-E67C7819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6" w:lineRule="auto"/>
      <w:outlineLvl w:val="0"/>
    </w:pPr>
    <w:rPr>
      <w:rFonts w:ascii="Times New Roman" w:hAnsi="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customStyle="1" w:styleId="p0">
    <w:name w:val="p0"/>
    <w:basedOn w:val="a"/>
    <w:qFormat/>
    <w:pPr>
      <w:widowControl/>
    </w:pPr>
    <w:rPr>
      <w:rFonts w:ascii="Times New Roman" w:hAnsi="Times New Roman"/>
      <w:kern w:val="0"/>
      <w:szCs w:val="21"/>
    </w:rPr>
  </w:style>
  <w:style w:type="character" w:customStyle="1" w:styleId="10">
    <w:name w:val="标题 1 字符"/>
    <w:link w:val="1"/>
    <w:qFormat/>
    <w:rPr>
      <w:rFonts w:ascii="Times New Roman" w:eastAsia="宋体" w:hAnsi="Times New Roman" w:cs="Times New Roman"/>
      <w:b/>
      <w:kern w:val="44"/>
      <w:sz w:val="44"/>
    </w:rPr>
  </w:style>
  <w:style w:type="paragraph" w:styleId="a4">
    <w:name w:val="header"/>
    <w:basedOn w:val="a"/>
    <w:link w:val="a5"/>
    <w:rsid w:val="00076C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76C9F"/>
    <w:rPr>
      <w:rFonts w:ascii="Calibri" w:hAnsi="Calibri"/>
      <w:kern w:val="2"/>
      <w:sz w:val="18"/>
      <w:szCs w:val="18"/>
    </w:rPr>
  </w:style>
  <w:style w:type="paragraph" w:styleId="a6">
    <w:name w:val="Balloon Text"/>
    <w:basedOn w:val="a"/>
    <w:link w:val="a7"/>
    <w:rsid w:val="00D645EA"/>
    <w:rPr>
      <w:sz w:val="18"/>
      <w:szCs w:val="18"/>
    </w:rPr>
  </w:style>
  <w:style w:type="character" w:customStyle="1" w:styleId="a7">
    <w:name w:val="批注框文本 字符"/>
    <w:basedOn w:val="a0"/>
    <w:link w:val="a6"/>
    <w:rsid w:val="00D645E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yangxin</cp:lastModifiedBy>
  <cp:revision>5</cp:revision>
  <dcterms:created xsi:type="dcterms:W3CDTF">2019-08-30T13:58:00Z</dcterms:created>
  <dcterms:modified xsi:type="dcterms:W3CDTF">2019-08-30T14:19:00Z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